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FD" w:rsidRDefault="00A57AFD" w:rsidP="001867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52EB9" w:rsidRDefault="00752EB9" w:rsidP="00A57AF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752EB9" w:rsidRPr="00CD51E5" w:rsidRDefault="00752EB9" w:rsidP="00A57AF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A57AFD" w:rsidRDefault="001867A6" w:rsidP="00A57AFD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AutoCAD risparmia il 50% del tuo tempo</w:t>
      </w:r>
      <w:r w:rsidR="00752EB9">
        <w:rPr>
          <w:rFonts w:ascii="Arial" w:hAnsi="Arial" w:cs="Arial"/>
          <w:b/>
          <w:sz w:val="22"/>
          <w:szCs w:val="22"/>
        </w:rPr>
        <w:t xml:space="preserve">: </w:t>
      </w:r>
      <w:r w:rsidR="00716DF1">
        <w:rPr>
          <w:rFonts w:ascii="Arial" w:hAnsi="Arial" w:cs="Arial"/>
          <w:b/>
          <w:sz w:val="22"/>
          <w:szCs w:val="22"/>
        </w:rPr>
        <w:t>16</w:t>
      </w:r>
      <w:r w:rsidR="00A57AFD">
        <w:rPr>
          <w:rFonts w:ascii="Arial" w:hAnsi="Arial" w:cs="Arial"/>
          <w:b/>
          <w:sz w:val="22"/>
          <w:szCs w:val="22"/>
        </w:rPr>
        <w:t xml:space="preserve"> ORE</w:t>
      </w:r>
    </w:p>
    <w:p w:rsidR="001867A6" w:rsidRPr="007C0E7A" w:rsidRDefault="001867A6" w:rsidP="001867A6">
      <w:pPr>
        <w:spacing w:line="300" w:lineRule="exact"/>
        <w:ind w:right="21"/>
        <w:jc w:val="both"/>
        <w:rPr>
          <w:rFonts w:ascii="Arial" w:hAnsi="Arial" w:cs="Arial"/>
          <w:sz w:val="22"/>
          <w:szCs w:val="22"/>
        </w:rPr>
      </w:pPr>
    </w:p>
    <w:p w:rsidR="007C0E7A" w:rsidRPr="007C0E7A" w:rsidRDefault="001867A6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corso è rivolto </w:t>
      </w:r>
      <w:r w:rsidRPr="001867A6">
        <w:rPr>
          <w:rFonts w:ascii="Arial" w:hAnsi="Arial" w:cs="Arial"/>
          <w:sz w:val="22"/>
          <w:szCs w:val="22"/>
        </w:rPr>
        <w:t xml:space="preserve">al professionista che usa da tempo il software per rinnovare, calandole nel proprio contesto, le tecniche e le </w:t>
      </w:r>
      <w:proofErr w:type="gramStart"/>
      <w:r w:rsidRPr="001867A6">
        <w:rPr>
          <w:rFonts w:ascii="Arial" w:hAnsi="Arial" w:cs="Arial"/>
          <w:sz w:val="22"/>
          <w:szCs w:val="22"/>
        </w:rPr>
        <w:t>modalità  pratiche</w:t>
      </w:r>
      <w:proofErr w:type="gramEnd"/>
      <w:r w:rsidRPr="001867A6">
        <w:rPr>
          <w:rFonts w:ascii="Arial" w:hAnsi="Arial" w:cs="Arial"/>
          <w:sz w:val="22"/>
          <w:szCs w:val="22"/>
        </w:rPr>
        <w:t xml:space="preserve"> di utilizzo. L'obiettivo è quello di ottenere un effettivo risparmio di tempo e un'integrazione completa scoprendo tutte le potenzialità offerte da AutoCAD. </w:t>
      </w:r>
      <w:proofErr w:type="gramStart"/>
      <w:r w:rsidRPr="001867A6">
        <w:rPr>
          <w:rFonts w:ascii="Arial" w:hAnsi="Arial" w:cs="Arial"/>
          <w:sz w:val="22"/>
          <w:szCs w:val="22"/>
        </w:rPr>
        <w:t>E'</w:t>
      </w:r>
      <w:proofErr w:type="gramEnd"/>
      <w:r w:rsidRPr="001867A6">
        <w:rPr>
          <w:rFonts w:ascii="Arial" w:hAnsi="Arial" w:cs="Arial"/>
          <w:sz w:val="22"/>
          <w:szCs w:val="22"/>
        </w:rPr>
        <w:t xml:space="preserve"> altresì adatto per lo studente che desideri finalizzare ciò che ha appreso durante il periodo scolastico, attualizzandone l'uso ed acquisendo le competenze necessarie per poter sostenere e superare l'esame di certificazione professionale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bCs/>
          <w:sz w:val="22"/>
          <w:szCs w:val="22"/>
        </w:rPr>
      </w:pP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>Contenuti formativi: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1867A6" w:rsidTr="001867A6">
        <w:trPr>
          <w:trHeight w:val="315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867A6" w:rsidRDefault="001867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/>
              <w:t>Presentazione del corso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Novità e consigli pratici...</w:t>
            </w:r>
            <w:r>
              <w:rPr>
                <w:rFonts w:ascii="Arial" w:hAnsi="Arial" w:cs="Arial"/>
                <w:color w:val="000000"/>
              </w:rPr>
              <w:br/>
              <w:t>Presentazione delle novità integrate nell'attuale versione di AutoCAD</w:t>
            </w:r>
            <w:r>
              <w:rPr>
                <w:rFonts w:ascii="Arial" w:hAnsi="Arial" w:cs="Arial"/>
                <w:color w:val="000000"/>
              </w:rPr>
              <w:br/>
              <w:t>Consigli e suggerimenti per un uso mirato e corretto del prodotto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Un ripasso generale...</w:t>
            </w:r>
            <w:r>
              <w:rPr>
                <w:rFonts w:ascii="Arial" w:hAnsi="Arial" w:cs="Arial"/>
                <w:color w:val="000000"/>
              </w:rPr>
              <w:br/>
              <w:t>Logiche pratiche di utilizzo</w:t>
            </w:r>
            <w:r>
              <w:rPr>
                <w:rFonts w:ascii="Arial" w:hAnsi="Arial" w:cs="Arial"/>
                <w:color w:val="000000"/>
              </w:rPr>
              <w:br/>
              <w:t>Presentazione delle modalità d'uso attualizzate del prodotto</w:t>
            </w:r>
            <w:r>
              <w:rPr>
                <w:rFonts w:ascii="Arial" w:hAnsi="Arial" w:cs="Arial"/>
                <w:color w:val="000000"/>
              </w:rPr>
              <w:br/>
              <w:t xml:space="preserve">Ripasso metodi di precisione (OSNAP 2D/3D, </w:t>
            </w:r>
            <w:proofErr w:type="spellStart"/>
            <w:r>
              <w:rPr>
                <w:rFonts w:ascii="Arial" w:hAnsi="Arial" w:cs="Arial"/>
                <w:color w:val="000000"/>
              </w:rPr>
              <w:t>autotracciamento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ecc...)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Il DWT come base standard di produzione...</w:t>
            </w:r>
            <w:r>
              <w:rPr>
                <w:rFonts w:ascii="Arial" w:hAnsi="Arial" w:cs="Arial"/>
                <w:color w:val="000000"/>
              </w:rPr>
              <w:br/>
              <w:t>Il DWT / DWG certificato e lo standard CAD (DWS) come base di lavoro</w:t>
            </w:r>
            <w:r>
              <w:rPr>
                <w:rFonts w:ascii="Arial" w:hAnsi="Arial" w:cs="Arial"/>
                <w:color w:val="000000"/>
              </w:rPr>
              <w:br/>
              <w:t xml:space="preserve">(unità, scale </w:t>
            </w:r>
            <w:proofErr w:type="spellStart"/>
            <w:r>
              <w:rPr>
                <w:rFonts w:ascii="Arial" w:hAnsi="Arial" w:cs="Arial"/>
                <w:color w:val="000000"/>
              </w:rPr>
              <w:t>annotative,layer</w:t>
            </w:r>
            <w:proofErr w:type="spellEnd"/>
            <w:r>
              <w:rPr>
                <w:rFonts w:ascii="Arial" w:hAnsi="Arial" w:cs="Arial"/>
                <w:color w:val="000000"/>
              </w:rPr>
              <w:t>, filtri, stati, stili annotativi, layout con gestione dedicata e integrata - stili di stampa)</w:t>
            </w:r>
            <w:r>
              <w:rPr>
                <w:rFonts w:ascii="Arial" w:hAnsi="Arial" w:cs="Arial"/>
                <w:color w:val="000000"/>
              </w:rPr>
              <w:br/>
              <w:t>Come creare un DWT efficiente - passi, trucchi e metodo</w:t>
            </w:r>
            <w:r>
              <w:rPr>
                <w:rFonts w:ascii="Arial" w:hAnsi="Arial" w:cs="Arial"/>
                <w:color w:val="000000"/>
              </w:rPr>
              <w:br/>
              <w:t>Verifica e standardizzazione veloce di un disegno esistente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Strumenti da integrare...nell'uso quotidiano</w:t>
            </w:r>
            <w:r>
              <w:rPr>
                <w:rFonts w:ascii="Arial" w:hAnsi="Arial" w:cs="Arial"/>
                <w:color w:val="000000"/>
              </w:rPr>
              <w:br/>
              <w:t>Utilizzo mirato del Design Center e delle Tavolozze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La logica vincente...il metodo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annotativo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 xml:space="preserve">Creazione/Uso di un DWT </w:t>
            </w:r>
            <w:proofErr w:type="spellStart"/>
            <w:r>
              <w:rPr>
                <w:rFonts w:ascii="Arial" w:hAnsi="Arial" w:cs="Arial"/>
                <w:color w:val="000000"/>
              </w:rPr>
              <w:t>annotativo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  <w:t xml:space="preserve">Gli oggetti e le scale </w:t>
            </w:r>
            <w:proofErr w:type="spellStart"/>
            <w:r>
              <w:rPr>
                <w:rFonts w:ascii="Arial" w:hAnsi="Arial" w:cs="Arial"/>
                <w:color w:val="000000"/>
              </w:rPr>
              <w:t>annotative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esercitazione pratica dal DWT &gt; DWG &gt; alla messa in tavola </w:t>
            </w:r>
            <w:proofErr w:type="spellStart"/>
            <w:r>
              <w:rPr>
                <w:rFonts w:ascii="Arial" w:hAnsi="Arial" w:cs="Arial"/>
                <w:color w:val="000000"/>
              </w:rPr>
              <w:t>annotativa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 un disegno architettonico con cartiglio / attributi, finestre mobili ecc...)</w:t>
            </w:r>
            <w:r>
              <w:rPr>
                <w:rFonts w:ascii="Arial" w:hAnsi="Arial" w:cs="Arial"/>
                <w:color w:val="000000"/>
              </w:rPr>
              <w:br/>
              <w:t xml:space="preserve">Il formato PDF con e senza </w:t>
            </w:r>
            <w:proofErr w:type="spellStart"/>
            <w:r>
              <w:rPr>
                <w:rFonts w:ascii="Arial" w:hAnsi="Arial" w:cs="Arial"/>
                <w:color w:val="000000"/>
              </w:rPr>
              <w:t>layer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gestione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Trasferire/spedire un DWG completo di tutto...in un solo clic</w:t>
            </w:r>
            <w:r>
              <w:rPr>
                <w:rFonts w:ascii="Arial" w:hAnsi="Arial" w:cs="Arial"/>
                <w:color w:val="000000"/>
              </w:rPr>
              <w:br/>
              <w:t>Come trasferire un disegno corredato di tutto quanto (</w:t>
            </w:r>
            <w:proofErr w:type="spellStart"/>
            <w:r>
              <w:rPr>
                <w:rFonts w:ascii="Arial" w:hAnsi="Arial" w:cs="Arial"/>
                <w:color w:val="000000"/>
              </w:rPr>
              <w:t>xrif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immagini, font, </w:t>
            </w:r>
            <w:proofErr w:type="spellStart"/>
            <w:r>
              <w:rPr>
                <w:rFonts w:ascii="Arial" w:hAnsi="Arial" w:cs="Arial"/>
                <w:color w:val="000000"/>
              </w:rPr>
              <w:t>textures</w:t>
            </w:r>
            <w:proofErr w:type="spellEnd"/>
            <w:r>
              <w:rPr>
                <w:rFonts w:ascii="Arial" w:hAnsi="Arial" w:cs="Arial"/>
                <w:color w:val="000000"/>
              </w:rPr>
              <w:t>, stili di stampa ecc...)</w:t>
            </w:r>
            <w:r>
              <w:rPr>
                <w:rFonts w:ascii="Arial" w:hAnsi="Arial" w:cs="Arial"/>
                <w:color w:val="000000"/>
              </w:rPr>
              <w:br/>
              <w:t xml:space="preserve">Uso integrato di: </w:t>
            </w:r>
            <w:proofErr w:type="spellStart"/>
            <w:r>
              <w:rPr>
                <w:rFonts w:ascii="Arial" w:hAnsi="Arial" w:cs="Arial"/>
                <w:color w:val="000000"/>
              </w:rPr>
              <w:t>eTransmit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ed i </w:t>
            </w:r>
            <w:proofErr w:type="spellStart"/>
            <w:r>
              <w:rPr>
                <w:rFonts w:ascii="Arial" w:hAnsi="Arial" w:cs="Arial"/>
                <w:color w:val="000000"/>
              </w:rPr>
              <w:t>preset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personalizzati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I Layout / tavole</w:t>
            </w:r>
            <w:r>
              <w:rPr>
                <w:rFonts w:ascii="Arial" w:hAnsi="Arial" w:cs="Arial"/>
                <w:color w:val="000000"/>
              </w:rPr>
              <w:br/>
              <w:t>I layout: gestione impostazione pagina, le finestre mobili rettangolari e poligonali/geometriche, il cartiglio e la squadratura, la messa in tavola in finestre mobili - proprietà - come differenziare lo spessore del tratto in base alla scala di riduzione ecc...</w:t>
            </w:r>
            <w:r>
              <w:rPr>
                <w:rFonts w:ascii="Arial" w:hAnsi="Arial" w:cs="Arial"/>
                <w:color w:val="000000"/>
              </w:rPr>
              <w:br/>
              <w:t>L'evoluzione del layout: viste e sezioni dinamiche 3D - stili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Come personalizzare velocemente AutoCAD automatizzando i processi ripetitivi - standard</w:t>
            </w:r>
            <w:r>
              <w:rPr>
                <w:rFonts w:ascii="Arial" w:hAnsi="Arial" w:cs="Arial"/>
                <w:color w:val="000000"/>
              </w:rPr>
              <w:br/>
              <w:t>La personalizzazione: le macro (esempio pratico)</w:t>
            </w:r>
            <w:r>
              <w:rPr>
                <w:rFonts w:ascii="Arial" w:hAnsi="Arial" w:cs="Arial"/>
                <w:color w:val="000000"/>
              </w:rPr>
              <w:br/>
              <w:t>Ripasso sui blocchi convenzionali interni/esterni (creazione/uso/aggiornamento)</w:t>
            </w:r>
            <w:r>
              <w:rPr>
                <w:rFonts w:ascii="Arial" w:hAnsi="Arial" w:cs="Arial"/>
                <w:color w:val="000000"/>
              </w:rPr>
              <w:br/>
              <w:t>I blocchi dinamici </w:t>
            </w:r>
            <w:r>
              <w:rPr>
                <w:rFonts w:ascii="Arial" w:hAnsi="Arial" w:cs="Arial"/>
                <w:color w:val="000000"/>
              </w:rPr>
              <w:br/>
              <w:t>Il disegno parametrico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Lavorare con gli XRIF e in Cloud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t>Conclusioni</w:t>
            </w:r>
          </w:p>
        </w:tc>
      </w:tr>
    </w:tbl>
    <w:p w:rsidR="00A57AFD" w:rsidRDefault="00A57AFD" w:rsidP="00A57AFD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sectPr w:rsidR="00A57AFD" w:rsidSect="007964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7B" w:rsidRDefault="00BA347B">
      <w:r>
        <w:separator/>
      </w:r>
    </w:p>
  </w:endnote>
  <w:endnote w:type="continuationSeparator" w:id="0">
    <w:p w:rsidR="00BA347B" w:rsidRDefault="00B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7B" w:rsidRDefault="00BA347B">
      <w:r>
        <w:separator/>
      </w:r>
    </w:p>
  </w:footnote>
  <w:footnote w:type="continuationSeparator" w:id="0">
    <w:p w:rsidR="00BA347B" w:rsidRDefault="00BA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FD" w:rsidRDefault="00603DCA" w:rsidP="00A57AFD">
    <w:pPr>
      <w:pStyle w:val="Titolo1"/>
      <w:ind w:left="170"/>
      <w:jc w:val="center"/>
    </w:pPr>
    <w:r w:rsidRPr="00603DC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4189730</wp:posOffset>
          </wp:positionH>
          <wp:positionV relativeFrom="margin">
            <wp:posOffset>-972820</wp:posOffset>
          </wp:positionV>
          <wp:extent cx="1930400" cy="802005"/>
          <wp:effectExtent l="19050" t="0" r="0" b="0"/>
          <wp:wrapSquare wrapText="bothSides"/>
          <wp:docPr id="3" name="Immagine 2" descr="logo a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7AFD" w:rsidRDefault="00A57AFD" w:rsidP="00A57AFD">
    <w:pPr>
      <w:pStyle w:val="Titolo1"/>
      <w:ind w:left="170"/>
      <w:jc w:val="right"/>
    </w:pPr>
  </w:p>
  <w:p w:rsidR="00A57AFD" w:rsidRPr="00A57AFD" w:rsidRDefault="00A57AFD" w:rsidP="00A57AFD">
    <w:pPr>
      <w:pStyle w:val="Titolo1"/>
      <w:ind w:left="170"/>
      <w:jc w:val="right"/>
      <w:rPr>
        <w:rFonts w:ascii="Arial" w:hAnsi="Arial" w:cs="Arial"/>
      </w:rPr>
    </w:pPr>
  </w:p>
  <w:p w:rsidR="00A57AFD" w:rsidRPr="00A57AFD" w:rsidRDefault="00A57AFD" w:rsidP="00A57AFD">
    <w:pPr>
      <w:pStyle w:val="Titolo1"/>
      <w:ind w:left="170"/>
      <w:jc w:val="right"/>
      <w:rPr>
        <w:rFonts w:ascii="Arial" w:hAnsi="Arial" w:cs="Arial"/>
      </w:rPr>
    </w:pPr>
  </w:p>
  <w:p w:rsidR="00603DCA" w:rsidRDefault="00603DCA" w:rsidP="00A57AFD">
    <w:pPr>
      <w:pStyle w:val="Intestazione"/>
      <w:jc w:val="right"/>
      <w:rPr>
        <w:rFonts w:ascii="Arial" w:hAnsi="Arial" w:cs="Arial"/>
        <w:sz w:val="20"/>
        <w:szCs w:val="20"/>
      </w:rPr>
    </w:pPr>
  </w:p>
  <w:p w:rsidR="00A57AFD" w:rsidRPr="00A57AFD" w:rsidRDefault="00A57AFD" w:rsidP="00A57AFD">
    <w:pPr>
      <w:pStyle w:val="Intestazione"/>
      <w:jc w:val="right"/>
      <w:rPr>
        <w:rFonts w:ascii="Arial" w:hAnsi="Arial" w:cs="Arial"/>
        <w:sz w:val="20"/>
        <w:szCs w:val="20"/>
      </w:rPr>
    </w:pPr>
    <w:r w:rsidRPr="00A57AFD">
      <w:rPr>
        <w:rFonts w:ascii="Arial" w:hAnsi="Arial" w:cs="Arial"/>
        <w:sz w:val="20"/>
        <w:szCs w:val="20"/>
      </w:rPr>
      <w:t>Arch. Michela Vissani &amp; Geom. Luca Olivieri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93F"/>
    <w:multiLevelType w:val="hybridMultilevel"/>
    <w:tmpl w:val="949A6E14"/>
    <w:lvl w:ilvl="0" w:tplc="0410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" w15:restartNumberingAfterBreak="0">
    <w:nsid w:val="2AEC4F7E"/>
    <w:multiLevelType w:val="hybridMultilevel"/>
    <w:tmpl w:val="AABA3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FD"/>
    <w:rsid w:val="000F074E"/>
    <w:rsid w:val="001867A6"/>
    <w:rsid w:val="001F201C"/>
    <w:rsid w:val="00345C0F"/>
    <w:rsid w:val="003E760B"/>
    <w:rsid w:val="00417F99"/>
    <w:rsid w:val="00453058"/>
    <w:rsid w:val="005613A3"/>
    <w:rsid w:val="005D23D1"/>
    <w:rsid w:val="005F4442"/>
    <w:rsid w:val="00603DCA"/>
    <w:rsid w:val="00716DF1"/>
    <w:rsid w:val="00752EB9"/>
    <w:rsid w:val="00796406"/>
    <w:rsid w:val="007C0E7A"/>
    <w:rsid w:val="00A57AFD"/>
    <w:rsid w:val="00B147CB"/>
    <w:rsid w:val="00BA347B"/>
    <w:rsid w:val="00D22A6A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60B8C"/>
  <w15:docId w15:val="{0650BCCD-26E0-41D6-A8EF-88673820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A57A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57AFD"/>
    <w:pPr>
      <w:keepNext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7A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7AFD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A57AFD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752EB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03D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0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VILLAGGIO DEL RAGAZZO CNOS</vt:lpstr>
    </vt:vector>
  </TitlesOfParts>
  <Company>milu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VILLAGGIO DEL RAGAZZO CNOS</dc:title>
  <dc:creator>miki</dc:creator>
  <cp:lastModifiedBy>notebook_milu</cp:lastModifiedBy>
  <cp:revision>3</cp:revision>
  <cp:lastPrinted>2010-12-09T13:27:00Z</cp:lastPrinted>
  <dcterms:created xsi:type="dcterms:W3CDTF">2016-11-02T14:43:00Z</dcterms:created>
  <dcterms:modified xsi:type="dcterms:W3CDTF">2016-11-02T14:45:00Z</dcterms:modified>
</cp:coreProperties>
</file>