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0116" w14:textId="637E2D80" w:rsidR="007D6100" w:rsidRDefault="007D6100" w:rsidP="007D6100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76A26B73" w14:textId="77777777" w:rsidR="007D6100" w:rsidRDefault="007D6100" w:rsidP="007D6100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 wp14:anchorId="0A36C0D8" wp14:editId="7190C727">
            <wp:extent cx="762000" cy="8572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1F66" w14:textId="77777777" w:rsidR="007D6100" w:rsidRDefault="007D6100" w:rsidP="007D6100">
      <w:pPr>
        <w:spacing w:line="360" w:lineRule="auto"/>
        <w:jc w:val="center"/>
        <w:rPr>
          <w:b/>
        </w:rPr>
      </w:pPr>
      <w:r>
        <w:rPr>
          <w:b/>
        </w:rPr>
        <w:t>TRIBUNALE di GENOVA</w:t>
      </w:r>
    </w:p>
    <w:p w14:paraId="561E7960" w14:textId="77777777" w:rsidR="007D6100" w:rsidRDefault="007D6100" w:rsidP="007D6100">
      <w:pPr>
        <w:spacing w:line="360" w:lineRule="auto"/>
        <w:jc w:val="center"/>
        <w:rPr>
          <w:b/>
        </w:rPr>
      </w:pPr>
      <w:r>
        <w:rPr>
          <w:b/>
        </w:rPr>
        <w:t>Sezione VII CIVILE - FALLIMENTARE</w:t>
      </w:r>
    </w:p>
    <w:p w14:paraId="6A23323C" w14:textId="77777777" w:rsidR="007D6100" w:rsidRDefault="007D6100" w:rsidP="007D6100">
      <w:pPr>
        <w:spacing w:line="360" w:lineRule="auto"/>
        <w:jc w:val="center"/>
        <w:rPr>
          <w:b/>
        </w:rPr>
      </w:pPr>
      <w:r>
        <w:rPr>
          <w:b/>
        </w:rPr>
        <w:t>***</w:t>
      </w:r>
    </w:p>
    <w:p w14:paraId="7AA472A5" w14:textId="69BD96D7" w:rsidR="002C03E3" w:rsidRPr="002C03E3" w:rsidRDefault="002C03E3" w:rsidP="007D6100">
      <w:pPr>
        <w:ind w:firstLine="708"/>
        <w:jc w:val="both"/>
        <w:rPr>
          <w:b/>
          <w:i/>
          <w:sz w:val="32"/>
          <w:szCs w:val="32"/>
        </w:rPr>
      </w:pPr>
      <w:r w:rsidRPr="002C03E3">
        <w:rPr>
          <w:b/>
          <w:i/>
          <w:sz w:val="32"/>
          <w:szCs w:val="32"/>
        </w:rPr>
        <w:t xml:space="preserve">Ai sigg. Professionisti designati come </w:t>
      </w:r>
    </w:p>
    <w:p w14:paraId="11CF1A68" w14:textId="043F0D59" w:rsidR="002C03E3" w:rsidRPr="002C03E3" w:rsidRDefault="002C03E3" w:rsidP="007D6100">
      <w:pPr>
        <w:ind w:firstLine="708"/>
        <w:jc w:val="both"/>
        <w:rPr>
          <w:b/>
          <w:i/>
          <w:sz w:val="32"/>
          <w:szCs w:val="32"/>
        </w:rPr>
      </w:pPr>
      <w:r w:rsidRPr="002C03E3">
        <w:rPr>
          <w:b/>
          <w:i/>
          <w:sz w:val="32"/>
          <w:szCs w:val="32"/>
        </w:rPr>
        <w:t>Custodi,</w:t>
      </w:r>
      <w:r>
        <w:rPr>
          <w:b/>
          <w:i/>
          <w:sz w:val="32"/>
          <w:szCs w:val="32"/>
        </w:rPr>
        <w:t xml:space="preserve"> Stimatori, D</w:t>
      </w:r>
      <w:r w:rsidRPr="002C03E3">
        <w:rPr>
          <w:b/>
          <w:i/>
          <w:sz w:val="32"/>
          <w:szCs w:val="32"/>
        </w:rPr>
        <w:t xml:space="preserve">elegati alle vendite </w:t>
      </w:r>
    </w:p>
    <w:p w14:paraId="318754AA" w14:textId="77777777" w:rsidR="002C03E3" w:rsidRPr="002C03E3" w:rsidRDefault="002C03E3" w:rsidP="007D6100">
      <w:pPr>
        <w:ind w:firstLine="708"/>
        <w:jc w:val="both"/>
        <w:rPr>
          <w:b/>
          <w:i/>
          <w:sz w:val="32"/>
          <w:szCs w:val="32"/>
        </w:rPr>
      </w:pPr>
    </w:p>
    <w:p w14:paraId="1C00CFCC" w14:textId="6F3545A4" w:rsidR="002C03E3" w:rsidRPr="002C03E3" w:rsidRDefault="002C03E3" w:rsidP="007D6100">
      <w:pPr>
        <w:ind w:firstLine="708"/>
        <w:jc w:val="both"/>
        <w:rPr>
          <w:b/>
          <w:sz w:val="36"/>
          <w:szCs w:val="36"/>
        </w:rPr>
      </w:pPr>
      <w:r w:rsidRPr="002C03E3">
        <w:rPr>
          <w:b/>
          <w:sz w:val="36"/>
          <w:szCs w:val="36"/>
        </w:rPr>
        <w:t>COMUNICAZIONE INFORMATIVA n. 2/2021</w:t>
      </w:r>
    </w:p>
    <w:p w14:paraId="66308A44" w14:textId="77777777" w:rsidR="002C03E3" w:rsidRDefault="002C03E3" w:rsidP="007D6100">
      <w:pPr>
        <w:ind w:firstLine="708"/>
        <w:jc w:val="both"/>
        <w:rPr>
          <w:b/>
        </w:rPr>
      </w:pPr>
    </w:p>
    <w:p w14:paraId="634B2A3F" w14:textId="77777777" w:rsidR="007D6100" w:rsidRPr="002C03E3" w:rsidRDefault="007D6100" w:rsidP="002C03E3">
      <w:pPr>
        <w:ind w:firstLine="708"/>
        <w:jc w:val="center"/>
        <w:rPr>
          <w:b/>
          <w:u w:val="single"/>
        </w:rPr>
      </w:pPr>
      <w:r w:rsidRPr="002C03E3">
        <w:rPr>
          <w:b/>
          <w:u w:val="single"/>
        </w:rPr>
        <w:t>PROROGA al 30.6.2021 dell’ART. 54 TER l. 27/2020</w:t>
      </w:r>
    </w:p>
    <w:p w14:paraId="55A095CB" w14:textId="77777777" w:rsidR="007D6100" w:rsidRPr="007D6100" w:rsidRDefault="007D6100" w:rsidP="002C03E3">
      <w:pPr>
        <w:ind w:firstLine="708"/>
        <w:jc w:val="center"/>
        <w:rPr>
          <w:b/>
        </w:rPr>
      </w:pPr>
      <w:r w:rsidRPr="002C03E3">
        <w:rPr>
          <w:b/>
          <w:u w:val="single"/>
        </w:rPr>
        <w:t>SOSPENSIONE dell’ESECUZIONE</w:t>
      </w:r>
    </w:p>
    <w:p w14:paraId="0C9F5D99" w14:textId="77777777" w:rsidR="007D6100" w:rsidRDefault="007D6100" w:rsidP="007D6100">
      <w:pPr>
        <w:ind w:firstLine="708"/>
        <w:jc w:val="both"/>
      </w:pPr>
    </w:p>
    <w:p w14:paraId="58D669AF" w14:textId="26D3BF93" w:rsidR="007D6100" w:rsidRDefault="007D6100" w:rsidP="007D6100">
      <w:pPr>
        <w:ind w:firstLine="708"/>
        <w:jc w:val="both"/>
      </w:pPr>
      <w:bookmarkStart w:id="0" w:name="_GoBack"/>
      <w:r>
        <w:t xml:space="preserve">Si segnala ai Professionisti designati quali stimatori e delegati </w:t>
      </w:r>
      <w:r w:rsidR="002C03E3">
        <w:t>ne</w:t>
      </w:r>
      <w:r>
        <w:t>lle vendite immobiliari che con Decreto Legge n. 183 del 31.12.2020 (art. 13 co. 14) è stata prorogata fino al 30.6.2021 la sospensione delle attività espropriative introdotta, in riferimento a</w:t>
      </w:r>
      <w:r w:rsidR="00D13191">
        <w:t>l</w:t>
      </w:r>
      <w:r>
        <w:t>l</w:t>
      </w:r>
      <w:r w:rsidR="00D13191">
        <w:t>’</w:t>
      </w:r>
      <w:r>
        <w:t>“</w:t>
      </w:r>
      <w:r w:rsidR="00D13191">
        <w:t>a</w:t>
      </w:r>
      <w:r>
        <w:t>bitazione</w:t>
      </w:r>
      <w:r w:rsidR="00D13191">
        <w:t xml:space="preserve"> principale</w:t>
      </w:r>
      <w:r>
        <w:t>” dell’esecutato, dall’art. 54 ter della L. 27/2020.</w:t>
      </w:r>
    </w:p>
    <w:p w14:paraId="34A133C5" w14:textId="77777777" w:rsidR="007D6100" w:rsidRDefault="007D6100" w:rsidP="007D6100">
      <w:pPr>
        <w:ind w:firstLine="708"/>
        <w:jc w:val="both"/>
      </w:pPr>
    </w:p>
    <w:p w14:paraId="274BD433" w14:textId="77777777" w:rsidR="007D6100" w:rsidRDefault="007D6100" w:rsidP="007D6100">
      <w:pPr>
        <w:ind w:firstLine="708"/>
        <w:jc w:val="both"/>
      </w:pPr>
      <w:r>
        <w:t xml:space="preserve">Ne discende che tutte le attività estimatorie e di impulso delle vendite non possono avere in tali casi ulteriore corso, mentre prosegue l’attività di custodia affidata a IVG o ad altri professionisti. I provvedimenti di sospensione ad oggi adottati </w:t>
      </w:r>
      <w:r w:rsidR="00D13191">
        <w:t xml:space="preserve">in base al citato art. 54 ter con scadenza </w:t>
      </w:r>
      <w:r>
        <w:t>al 31.12.2020</w:t>
      </w:r>
      <w:r w:rsidR="00D13191">
        <w:t>, ove permanga l’occupazione del bene pignorato da parte dell’esecutato,  si intendono quindi automaticamente prorogati fino a fine giugno 2021</w:t>
      </w:r>
      <w:r>
        <w:t>.</w:t>
      </w:r>
    </w:p>
    <w:p w14:paraId="231874E2" w14:textId="77777777" w:rsidR="007D6100" w:rsidRDefault="007D6100" w:rsidP="007D6100">
      <w:pPr>
        <w:ind w:firstLine="708"/>
        <w:jc w:val="both"/>
      </w:pPr>
    </w:p>
    <w:p w14:paraId="7C48B918" w14:textId="6895B633" w:rsidR="007D6100" w:rsidRDefault="007D6100" w:rsidP="007D6100">
      <w:pPr>
        <w:ind w:firstLine="708"/>
        <w:jc w:val="both"/>
      </w:pPr>
      <w:r>
        <w:t>Tanto si segnala per evitare inutile affollamento di richiesta di chiarimenti circa una proro</w:t>
      </w:r>
      <w:r w:rsidR="00701EEE">
        <w:t>ga disposta per legge e affinché</w:t>
      </w:r>
      <w:r>
        <w:t xml:space="preserve"> dopo il 1^ luglio p.v. possa riprendere l’attività espropriativa, senza necessità di ulteriori richieste </w:t>
      </w:r>
      <w:r w:rsidR="00D13191">
        <w:t xml:space="preserve">di stimatori e delegati </w:t>
      </w:r>
      <w:r>
        <w:t>e provvedimenti d</w:t>
      </w:r>
      <w:r w:rsidR="00D13191">
        <w:t>a parte d</w:t>
      </w:r>
      <w:r>
        <w:t>ei s</w:t>
      </w:r>
      <w:r w:rsidR="00D13191">
        <w:t>i</w:t>
      </w:r>
      <w:r>
        <w:t>ngoli giudici dell’esecuzione.</w:t>
      </w:r>
    </w:p>
    <w:bookmarkEnd w:id="0"/>
    <w:p w14:paraId="0CF1DA5D" w14:textId="77777777" w:rsidR="007D6100" w:rsidRDefault="007D6100" w:rsidP="007D6100">
      <w:pPr>
        <w:ind w:firstLine="708"/>
        <w:jc w:val="both"/>
      </w:pPr>
    </w:p>
    <w:p w14:paraId="3552D304" w14:textId="75661073" w:rsidR="007D6100" w:rsidRDefault="007D6100" w:rsidP="007D6100">
      <w:pPr>
        <w:ind w:firstLine="360"/>
        <w:jc w:val="both"/>
      </w:pPr>
      <w:r>
        <w:t xml:space="preserve">Genova, </w:t>
      </w:r>
      <w:r w:rsidR="002C03E3">
        <w:t>8</w:t>
      </w:r>
      <w:r>
        <w:t>.1.2021</w:t>
      </w:r>
    </w:p>
    <w:p w14:paraId="457600E4" w14:textId="77777777" w:rsidR="007D6100" w:rsidRDefault="007D6100" w:rsidP="007D6100">
      <w:pPr>
        <w:ind w:firstLine="360"/>
        <w:jc w:val="both"/>
      </w:pPr>
    </w:p>
    <w:p w14:paraId="5B0D0CC2" w14:textId="77777777" w:rsidR="007D6100" w:rsidRDefault="007D6100" w:rsidP="007D6100">
      <w:pPr>
        <w:jc w:val="center"/>
      </w:pPr>
      <w:r>
        <w:t>Il Presidente di Sezione</w:t>
      </w:r>
    </w:p>
    <w:p w14:paraId="1EAF57D4" w14:textId="77777777" w:rsidR="007D6100" w:rsidRDefault="007D6100" w:rsidP="007D6100">
      <w:pPr>
        <w:jc w:val="center"/>
      </w:pPr>
      <w:r>
        <w:t xml:space="preserve">             dott. Roberto BRACCIALINI</w:t>
      </w:r>
    </w:p>
    <w:p w14:paraId="47C92254" w14:textId="77777777" w:rsidR="005A0734" w:rsidRPr="00DF57C3" w:rsidRDefault="004F4D35" w:rsidP="00DF57C3">
      <w:pPr>
        <w:jc w:val="both"/>
        <w:rPr>
          <w:sz w:val="28"/>
          <w:szCs w:val="28"/>
        </w:rPr>
      </w:pPr>
    </w:p>
    <w:sectPr w:rsidR="005A0734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00"/>
    <w:rsid w:val="002C03E3"/>
    <w:rsid w:val="004F4D35"/>
    <w:rsid w:val="005F2A8B"/>
    <w:rsid w:val="00701EEE"/>
    <w:rsid w:val="007D6100"/>
    <w:rsid w:val="00BA695C"/>
    <w:rsid w:val="00D13191"/>
    <w:rsid w:val="00DF57C3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1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E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EEE"/>
    <w:rPr>
      <w:rFonts w:ascii="Tahoma" w:eastAsia="Arial Unicode MS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1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E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EEE"/>
    <w:rPr>
      <w:rFonts w:ascii="Tahoma" w:eastAsia="Arial Unicode M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D0C6A-F068-4A3B-B3B6-06A30383D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C2BBF-1700-4167-BAFE-8156BA2F3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51C32-6515-4F53-A188-6DE365142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isabella rhode</cp:lastModifiedBy>
  <cp:revision>3</cp:revision>
  <dcterms:created xsi:type="dcterms:W3CDTF">2021-01-08T16:57:00Z</dcterms:created>
  <dcterms:modified xsi:type="dcterms:W3CDTF">2021-01-12T09:33:00Z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